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8B0098" w14:textId="77777777" w:rsidR="00373FC9" w:rsidRDefault="00373FC9" w:rsidP="00373FC9">
      <w:pPr>
        <w:jc w:val="both"/>
        <w:rPr>
          <w:rFonts w:ascii="Times New Roman" w:hAnsi="Times New Roman" w:cs="Times New Roman"/>
          <w:b/>
          <w:sz w:val="32"/>
          <w:szCs w:val="32"/>
        </w:rPr>
      </w:pPr>
      <w:r>
        <w:rPr>
          <w:rFonts w:ascii="Times New Roman" w:hAnsi="Times New Roman" w:cs="Times New Roman"/>
          <w:b/>
          <w:sz w:val="32"/>
          <w:szCs w:val="32"/>
        </w:rPr>
        <w:t>Die letzten aktiven Frachtsegler (1.)</w:t>
      </w:r>
    </w:p>
    <w:p w14:paraId="3FA29332" w14:textId="77777777" w:rsidR="00373FC9" w:rsidRDefault="00373FC9" w:rsidP="00373FC9">
      <w:pPr>
        <w:jc w:val="both"/>
        <w:rPr>
          <w:rFonts w:ascii="Times New Roman" w:hAnsi="Times New Roman" w:cs="Times New Roman"/>
          <w:b/>
          <w:sz w:val="24"/>
          <w:szCs w:val="24"/>
        </w:rPr>
      </w:pPr>
      <w:r>
        <w:rPr>
          <w:rFonts w:ascii="Times New Roman" w:hAnsi="Times New Roman" w:cs="Times New Roman"/>
          <w:b/>
          <w:sz w:val="24"/>
          <w:szCs w:val="24"/>
        </w:rPr>
        <w:t xml:space="preserve">TELLUS ex EVERTSEN, die wohl letzte in der Frachtfahrt beschäftigte Bark. </w:t>
      </w:r>
    </w:p>
    <w:p w14:paraId="5AF5C60C" w14:textId="77777777" w:rsidR="00373FC9" w:rsidRDefault="00373FC9" w:rsidP="00373FC9">
      <w:pPr>
        <w:jc w:val="both"/>
        <w:rPr>
          <w:rFonts w:ascii="Times New Roman" w:hAnsi="Times New Roman" w:cs="Times New Roman"/>
          <w:sz w:val="24"/>
          <w:szCs w:val="24"/>
        </w:rPr>
      </w:pPr>
      <w:r>
        <w:rPr>
          <w:rFonts w:ascii="Times New Roman" w:hAnsi="Times New Roman" w:cs="Times New Roman"/>
          <w:sz w:val="24"/>
          <w:szCs w:val="24"/>
        </w:rPr>
        <w:t xml:space="preserve">Im Jahre 1890 hatte die in Amsterdam neugegründete </w:t>
      </w:r>
      <w:proofErr w:type="spellStart"/>
      <w:r>
        <w:rPr>
          <w:rFonts w:ascii="Times New Roman" w:hAnsi="Times New Roman" w:cs="Times New Roman"/>
          <w:i/>
          <w:sz w:val="24"/>
          <w:szCs w:val="24"/>
        </w:rPr>
        <w:t>Nederlandsche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Scheepvaart</w:t>
      </w:r>
      <w:proofErr w:type="spellEnd"/>
      <w:r>
        <w:rPr>
          <w:rFonts w:ascii="Times New Roman" w:hAnsi="Times New Roman" w:cs="Times New Roman"/>
          <w:i/>
          <w:sz w:val="24"/>
          <w:szCs w:val="24"/>
        </w:rPr>
        <w:t xml:space="preserve"> Maatschappij N.V. (Direktoren: A. D. Zur Mühlen und C. </w:t>
      </w:r>
      <w:proofErr w:type="spellStart"/>
      <w:r>
        <w:rPr>
          <w:rFonts w:ascii="Times New Roman" w:hAnsi="Times New Roman" w:cs="Times New Roman"/>
          <w:i/>
          <w:sz w:val="24"/>
          <w:szCs w:val="24"/>
        </w:rPr>
        <w:t>M.van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Vessem</w:t>
      </w:r>
      <w:proofErr w:type="spellEnd"/>
      <w:r>
        <w:rPr>
          <w:rFonts w:ascii="Times New Roman" w:hAnsi="Times New Roman" w:cs="Times New Roman"/>
          <w:i/>
          <w:sz w:val="24"/>
          <w:szCs w:val="24"/>
        </w:rPr>
        <w:t xml:space="preserve"> </w:t>
      </w:r>
      <w:r>
        <w:rPr>
          <w:rFonts w:ascii="Times New Roman" w:hAnsi="Times New Roman" w:cs="Times New Roman"/>
          <w:sz w:val="24"/>
          <w:szCs w:val="24"/>
        </w:rPr>
        <w:t>in Rotterdam)</w:t>
      </w:r>
      <w:r>
        <w:rPr>
          <w:rFonts w:ascii="Times New Roman" w:hAnsi="Times New Roman" w:cs="Times New Roman"/>
          <w:i/>
          <w:sz w:val="24"/>
          <w:szCs w:val="24"/>
        </w:rPr>
        <w:t xml:space="preserve"> </w:t>
      </w:r>
      <w:r>
        <w:rPr>
          <w:rFonts w:ascii="Times New Roman" w:hAnsi="Times New Roman" w:cs="Times New Roman"/>
          <w:sz w:val="24"/>
          <w:szCs w:val="24"/>
        </w:rPr>
        <w:t xml:space="preserve">vier mittelgroße stählerne Segelschiffe auf verschiedenen holländischen Werften in Auftrag gegeben. Eine von </w:t>
      </w:r>
      <w:proofErr w:type="spellStart"/>
      <w:r>
        <w:rPr>
          <w:rFonts w:ascii="Times New Roman" w:hAnsi="Times New Roman" w:cs="Times New Roman"/>
          <w:sz w:val="24"/>
          <w:szCs w:val="24"/>
        </w:rPr>
        <w:t>Rijkee</w:t>
      </w:r>
      <w:proofErr w:type="spellEnd"/>
      <w:r>
        <w:rPr>
          <w:rFonts w:ascii="Times New Roman" w:hAnsi="Times New Roman" w:cs="Times New Roman"/>
          <w:sz w:val="24"/>
          <w:szCs w:val="24"/>
        </w:rPr>
        <w:t xml:space="preserve"> &amp; Co. in Rotterdam-Katendrecht unter der Baunummer 53 fertiggestellte Bark lief als erste des Quartetts am 25. Oktober 1890 vom Stapel und wurde im Februar 1891 als EVERTSEN  (NRGB) in Amsterdam registriert.  Bei Abmessungen von 238.2 x 37.5 x 21.4 engl. Fuß ( 72,59 x 11,40 x 6,50 m) war der Neubau zu 1482 BRT </w:t>
      </w:r>
      <w:proofErr w:type="spellStart"/>
      <w:r>
        <w:rPr>
          <w:rFonts w:ascii="Times New Roman" w:hAnsi="Times New Roman" w:cs="Times New Roman"/>
          <w:sz w:val="24"/>
          <w:szCs w:val="24"/>
        </w:rPr>
        <w:t>bzw</w:t>
      </w:r>
      <w:proofErr w:type="spellEnd"/>
      <w:r>
        <w:rPr>
          <w:rFonts w:ascii="Times New Roman" w:hAnsi="Times New Roman" w:cs="Times New Roman"/>
          <w:sz w:val="24"/>
          <w:szCs w:val="24"/>
        </w:rPr>
        <w:t xml:space="preserve"> 1418 NRT vermessen und konnte 2100  </w:t>
      </w:r>
      <w:proofErr w:type="spellStart"/>
      <w:r>
        <w:rPr>
          <w:rFonts w:ascii="Times New Roman" w:hAnsi="Times New Roman" w:cs="Times New Roman"/>
          <w:sz w:val="24"/>
          <w:szCs w:val="24"/>
        </w:rPr>
        <w:t>tons</w:t>
      </w:r>
      <w:proofErr w:type="spellEnd"/>
      <w:r>
        <w:rPr>
          <w:rFonts w:ascii="Times New Roman" w:hAnsi="Times New Roman" w:cs="Times New Roman"/>
          <w:sz w:val="24"/>
          <w:szCs w:val="24"/>
        </w:rPr>
        <w:t xml:space="preserve">  laden. Als Schiffsführer war </w:t>
      </w:r>
      <w:proofErr w:type="spellStart"/>
      <w:r>
        <w:rPr>
          <w:rFonts w:ascii="Times New Roman" w:hAnsi="Times New Roman" w:cs="Times New Roman"/>
          <w:sz w:val="24"/>
          <w:szCs w:val="24"/>
        </w:rPr>
        <w:t>Kapt</w:t>
      </w:r>
      <w:proofErr w:type="spellEnd"/>
      <w:r>
        <w:rPr>
          <w:rFonts w:ascii="Times New Roman" w:hAnsi="Times New Roman" w:cs="Times New Roman"/>
          <w:sz w:val="24"/>
          <w:szCs w:val="24"/>
        </w:rPr>
        <w:t xml:space="preserve">. J.G. </w:t>
      </w:r>
      <w:proofErr w:type="spellStart"/>
      <w:r>
        <w:rPr>
          <w:rFonts w:ascii="Times New Roman" w:hAnsi="Times New Roman" w:cs="Times New Roman"/>
          <w:sz w:val="24"/>
          <w:szCs w:val="24"/>
        </w:rPr>
        <w:t>Wiebenga</w:t>
      </w:r>
      <w:proofErr w:type="spellEnd"/>
      <w:r>
        <w:rPr>
          <w:rFonts w:ascii="Times New Roman" w:hAnsi="Times New Roman" w:cs="Times New Roman"/>
          <w:sz w:val="24"/>
          <w:szCs w:val="24"/>
        </w:rPr>
        <w:t xml:space="preserve">  angestellt, der am 12. April 1891 in Rotterdam seine Jungfernreise mit einer gemischten Ladung nach Java antrat.  </w:t>
      </w:r>
    </w:p>
    <w:p w14:paraId="21BB8EE1" w14:textId="4FC266B4" w:rsidR="00373FC9" w:rsidRDefault="00373FC9" w:rsidP="00373FC9">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24"/>
          <w:szCs w:val="24"/>
        </w:rPr>
      </w:pPr>
      <w:r>
        <w:rPr>
          <w:rFonts w:ascii="Times New Roman" w:hAnsi="Times New Roman" w:cs="Times New Roman"/>
          <w:noProof/>
          <w:sz w:val="24"/>
          <w:szCs w:val="24"/>
          <w:lang w:eastAsia="de-DE"/>
        </w:rPr>
        <w:drawing>
          <wp:inline distT="0" distB="0" distL="0" distR="0" wp14:anchorId="4A4E0F0C" wp14:editId="527E3BA1">
            <wp:extent cx="5760720" cy="3079750"/>
            <wp:effectExtent l="0" t="0" r="0" b="6350"/>
            <wp:docPr id="6" name="Afbeelding 6" descr="EBVERTSEN, Segelzeichnung, gro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BVERTSEN, Segelzeichnung, gross.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3079750"/>
                    </a:xfrm>
                    <a:prstGeom prst="rect">
                      <a:avLst/>
                    </a:prstGeom>
                    <a:noFill/>
                    <a:ln>
                      <a:noFill/>
                    </a:ln>
                  </pic:spPr>
                </pic:pic>
              </a:graphicData>
            </a:graphic>
          </wp:inline>
        </w:drawing>
      </w:r>
    </w:p>
    <w:p w14:paraId="33652362" w14:textId="77777777" w:rsidR="00373FC9" w:rsidRDefault="00373FC9" w:rsidP="00373FC9">
      <w:pPr>
        <w:jc w:val="center"/>
        <w:rPr>
          <w:rFonts w:ascii="Times New Roman" w:hAnsi="Times New Roman" w:cs="Times New Roman"/>
          <w:sz w:val="24"/>
          <w:szCs w:val="24"/>
        </w:rPr>
      </w:pPr>
      <w:r>
        <w:rPr>
          <w:rFonts w:ascii="Times New Roman" w:hAnsi="Times New Roman" w:cs="Times New Roman"/>
          <w:sz w:val="24"/>
          <w:szCs w:val="24"/>
        </w:rPr>
        <w:t>EVERTSEN, Segelzeichnung (</w:t>
      </w:r>
      <w:proofErr w:type="spellStart"/>
      <w:r>
        <w:rPr>
          <w:rFonts w:ascii="Times New Roman" w:hAnsi="Times New Roman" w:cs="Times New Roman"/>
          <w:sz w:val="24"/>
          <w:szCs w:val="24"/>
        </w:rPr>
        <w:t>Slg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Marhisdata</w:t>
      </w:r>
      <w:proofErr w:type="spellEnd"/>
      <w:r>
        <w:rPr>
          <w:rFonts w:ascii="Times New Roman" w:hAnsi="Times New Roman" w:cs="Times New Roman"/>
          <w:sz w:val="24"/>
          <w:szCs w:val="24"/>
        </w:rPr>
        <w:t>)</w:t>
      </w:r>
    </w:p>
    <w:p w14:paraId="4A0B31AE" w14:textId="77777777" w:rsidR="00373FC9" w:rsidRDefault="00373FC9" w:rsidP="00373FC9">
      <w:pPr>
        <w:jc w:val="both"/>
        <w:rPr>
          <w:rFonts w:ascii="Times New Roman" w:hAnsi="Times New Roman" w:cs="Times New Roman"/>
          <w:sz w:val="24"/>
          <w:szCs w:val="24"/>
        </w:rPr>
      </w:pPr>
      <w:r w:rsidRPr="005B61E9">
        <w:rPr>
          <w:rFonts w:ascii="Times New Roman" w:hAnsi="Times New Roman" w:cs="Times New Roman"/>
          <w:sz w:val="24"/>
          <w:szCs w:val="24"/>
        </w:rPr>
        <w:t xml:space="preserve">Bereits am 5. Februar 1892 war er mit einer vollen Ladung Zucker zurück in Falmouth, wo er Order für Liverpool erhielt.  Die nächsten Reisen sind nur bruchstückweise überliefert. So lag </w:t>
      </w:r>
      <w:r>
        <w:rPr>
          <w:rFonts w:ascii="Times New Roman" w:hAnsi="Times New Roman" w:cs="Times New Roman"/>
          <w:sz w:val="24"/>
          <w:szCs w:val="24"/>
        </w:rPr>
        <w:t xml:space="preserve">EVERTSEN am 13. Januar 1893 beladen mit Kaffee, Häuten und Kapok segelfertig in Batavia, um nach Amsterdam auszulaufen. </w:t>
      </w:r>
    </w:p>
    <w:p w14:paraId="2A7DBA34" w14:textId="77777777" w:rsidR="00373FC9" w:rsidRDefault="00373FC9" w:rsidP="00373FC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1894, am 30. Mai war </w:t>
      </w:r>
      <w:proofErr w:type="spellStart"/>
      <w:r>
        <w:rPr>
          <w:rFonts w:ascii="Times New Roman" w:hAnsi="Times New Roman" w:cs="Times New Roman"/>
          <w:sz w:val="24"/>
          <w:szCs w:val="24"/>
        </w:rPr>
        <w:t>Kapt</w:t>
      </w:r>
      <w:proofErr w:type="spellEnd"/>
      <w:r>
        <w:rPr>
          <w:rFonts w:ascii="Times New Roman" w:hAnsi="Times New Roman" w:cs="Times New Roman"/>
          <w:sz w:val="24"/>
          <w:szCs w:val="24"/>
        </w:rPr>
        <w:t xml:space="preserve">. J.G. </w:t>
      </w:r>
      <w:proofErr w:type="spellStart"/>
      <w:r>
        <w:rPr>
          <w:rFonts w:ascii="Times New Roman" w:hAnsi="Times New Roman" w:cs="Times New Roman"/>
          <w:sz w:val="24"/>
          <w:szCs w:val="24"/>
        </w:rPr>
        <w:t>Wiebenga</w:t>
      </w:r>
      <w:proofErr w:type="spellEnd"/>
      <w:r>
        <w:rPr>
          <w:rFonts w:ascii="Times New Roman" w:hAnsi="Times New Roman" w:cs="Times New Roman"/>
          <w:sz w:val="24"/>
          <w:szCs w:val="24"/>
        </w:rPr>
        <w:t xml:space="preserve"> mit seiner Bark von </w:t>
      </w:r>
      <w:proofErr w:type="spellStart"/>
      <w:r>
        <w:rPr>
          <w:rFonts w:ascii="Times New Roman" w:hAnsi="Times New Roman" w:cs="Times New Roman"/>
          <w:sz w:val="24"/>
          <w:szCs w:val="24"/>
        </w:rPr>
        <w:t>Soerabaija</w:t>
      </w:r>
      <w:proofErr w:type="spellEnd"/>
      <w:r>
        <w:rPr>
          <w:rFonts w:ascii="Times New Roman" w:hAnsi="Times New Roman" w:cs="Times New Roman"/>
          <w:sz w:val="24"/>
          <w:szCs w:val="24"/>
        </w:rPr>
        <w:t xml:space="preserve"> kommend in Saigon eingetroffen. Am 25. Dezember gleichen Jahres segelte sie von St. Nazaire nach Amsterdam, geriet dabei in schweres Wetter, verlor mehrere Rahen und erlitt Schäden am Großmast.</w:t>
      </w:r>
    </w:p>
    <w:p w14:paraId="345D1623" w14:textId="77777777" w:rsidR="00373FC9" w:rsidRDefault="00373FC9" w:rsidP="00373FC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1895, am 14. Januar passierte sie </w:t>
      </w:r>
      <w:proofErr w:type="spellStart"/>
      <w:r>
        <w:rPr>
          <w:rFonts w:ascii="Times New Roman" w:hAnsi="Times New Roman" w:cs="Times New Roman"/>
          <w:sz w:val="24"/>
          <w:szCs w:val="24"/>
        </w:rPr>
        <w:t>Lizard</w:t>
      </w:r>
      <w:proofErr w:type="spellEnd"/>
      <w:r>
        <w:rPr>
          <w:rFonts w:ascii="Times New Roman" w:hAnsi="Times New Roman" w:cs="Times New Roman"/>
          <w:sz w:val="24"/>
          <w:szCs w:val="24"/>
        </w:rPr>
        <w:t xml:space="preserve"> auf dem Weg nach Falmouth als Nothafen. Der niederländische Seeschlepper OOSTZEE verließ am 18. Januar Amsterdam, um den Havaristen nach </w:t>
      </w:r>
      <w:proofErr w:type="spellStart"/>
      <w:r>
        <w:rPr>
          <w:rFonts w:ascii="Times New Roman" w:hAnsi="Times New Roman" w:cs="Times New Roman"/>
          <w:sz w:val="24"/>
          <w:szCs w:val="24"/>
        </w:rPr>
        <w:t>IJmuiden</w:t>
      </w:r>
      <w:proofErr w:type="spellEnd"/>
      <w:r>
        <w:rPr>
          <w:rFonts w:ascii="Times New Roman" w:hAnsi="Times New Roman" w:cs="Times New Roman"/>
          <w:sz w:val="24"/>
          <w:szCs w:val="24"/>
        </w:rPr>
        <w:t xml:space="preserve"> zu bringen. Wegen anhaltend schlechten Wetters musste der Schleppzug am 21. Januar in Plymouth Schutz suchen, konnte jedoch die Reise am nächsten Tag fortsetzen.</w:t>
      </w:r>
    </w:p>
    <w:p w14:paraId="72270DDC" w14:textId="77777777" w:rsidR="00373FC9" w:rsidRDefault="00373FC9" w:rsidP="00373FC9">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1897: die letzte Meldung stammt vom 17. Juni, worin es heißt, dass die stählerne Bark EVERTSEN der </w:t>
      </w:r>
      <w:proofErr w:type="spellStart"/>
      <w:r>
        <w:rPr>
          <w:rFonts w:ascii="Times New Roman" w:hAnsi="Times New Roman" w:cs="Times New Roman"/>
          <w:i/>
          <w:sz w:val="24"/>
          <w:szCs w:val="24"/>
        </w:rPr>
        <w:t>Nederlandschen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Scheepvaart</w:t>
      </w:r>
      <w:proofErr w:type="spellEnd"/>
      <w:r>
        <w:rPr>
          <w:rFonts w:ascii="Times New Roman" w:hAnsi="Times New Roman" w:cs="Times New Roman"/>
          <w:i/>
          <w:sz w:val="24"/>
          <w:szCs w:val="24"/>
        </w:rPr>
        <w:t xml:space="preserve"> Maatschappij</w:t>
      </w:r>
      <w:r>
        <w:rPr>
          <w:rFonts w:ascii="Times New Roman" w:hAnsi="Times New Roman" w:cs="Times New Roman"/>
          <w:sz w:val="24"/>
          <w:szCs w:val="24"/>
        </w:rPr>
        <w:t xml:space="preserve"> für GBP 6.550 an eine Reederei in Hamburg verkauft sei.</w:t>
      </w:r>
      <w:r>
        <w:rPr>
          <w:rStyle w:val="Voetnootmarkering"/>
          <w:rFonts w:ascii="Times New Roman" w:hAnsi="Times New Roman" w:cs="Times New Roman"/>
          <w:sz w:val="24"/>
          <w:szCs w:val="24"/>
        </w:rPr>
        <w:footnoteReference w:id="1"/>
      </w:r>
    </w:p>
    <w:p w14:paraId="5F4BA642" w14:textId="77777777" w:rsidR="00373FC9" w:rsidRDefault="00373FC9" w:rsidP="00373FC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Neuer Eigner war die Reederei </w:t>
      </w:r>
      <w:r>
        <w:rPr>
          <w:rFonts w:ascii="Times New Roman" w:hAnsi="Times New Roman" w:cs="Times New Roman"/>
          <w:i/>
          <w:sz w:val="24"/>
          <w:szCs w:val="24"/>
        </w:rPr>
        <w:t>Wachsmuth &amp; Krogmann</w:t>
      </w:r>
      <w:r>
        <w:rPr>
          <w:rFonts w:ascii="Times New Roman" w:hAnsi="Times New Roman" w:cs="Times New Roman"/>
          <w:sz w:val="24"/>
          <w:szCs w:val="24"/>
        </w:rPr>
        <w:t xml:space="preserve">, die das Schiff in TELLUS (RKQN) umbenannte und unter den Kapitänen </w:t>
      </w:r>
      <w:r>
        <w:rPr>
          <w:rFonts w:ascii="Times New Roman" w:hAnsi="Times New Roman" w:cs="Times New Roman"/>
          <w:i/>
          <w:sz w:val="24"/>
          <w:szCs w:val="24"/>
        </w:rPr>
        <w:t xml:space="preserve">M. Nielsen, Max </w:t>
      </w:r>
      <w:proofErr w:type="spellStart"/>
      <w:r>
        <w:rPr>
          <w:rFonts w:ascii="Times New Roman" w:hAnsi="Times New Roman" w:cs="Times New Roman"/>
          <w:i/>
          <w:sz w:val="24"/>
          <w:szCs w:val="24"/>
        </w:rPr>
        <w:t>Prohn</w:t>
      </w:r>
      <w:proofErr w:type="spellEnd"/>
      <w:r>
        <w:rPr>
          <w:rFonts w:ascii="Times New Roman" w:hAnsi="Times New Roman" w:cs="Times New Roman"/>
          <w:i/>
          <w:sz w:val="24"/>
          <w:szCs w:val="24"/>
        </w:rPr>
        <w:t xml:space="preserve">, W. </w:t>
      </w:r>
      <w:proofErr w:type="spellStart"/>
      <w:r>
        <w:rPr>
          <w:rFonts w:ascii="Times New Roman" w:hAnsi="Times New Roman" w:cs="Times New Roman"/>
          <w:i/>
          <w:sz w:val="24"/>
          <w:szCs w:val="24"/>
        </w:rPr>
        <w:t>Karstädt</w:t>
      </w:r>
      <w:proofErr w:type="spellEnd"/>
      <w:r>
        <w:rPr>
          <w:rFonts w:ascii="Times New Roman" w:hAnsi="Times New Roman" w:cs="Times New Roman"/>
          <w:i/>
          <w:sz w:val="24"/>
          <w:szCs w:val="24"/>
        </w:rPr>
        <w:t xml:space="preserve">, J. </w:t>
      </w:r>
      <w:proofErr w:type="spellStart"/>
      <w:r>
        <w:rPr>
          <w:rFonts w:ascii="Times New Roman" w:hAnsi="Times New Roman" w:cs="Times New Roman"/>
          <w:i/>
          <w:sz w:val="24"/>
          <w:szCs w:val="24"/>
        </w:rPr>
        <w:t>Börst</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und </w:t>
      </w:r>
      <w:r>
        <w:rPr>
          <w:rFonts w:ascii="Times New Roman" w:hAnsi="Times New Roman" w:cs="Times New Roman"/>
          <w:i/>
          <w:sz w:val="24"/>
          <w:szCs w:val="24"/>
        </w:rPr>
        <w:t xml:space="preserve"> H. Brauch </w:t>
      </w:r>
      <w:r>
        <w:rPr>
          <w:rFonts w:ascii="Times New Roman" w:hAnsi="Times New Roman" w:cs="Times New Roman"/>
          <w:sz w:val="24"/>
          <w:szCs w:val="24"/>
        </w:rPr>
        <w:t xml:space="preserve"> in weltweiter Fahrt einsetzte. An einzelnen Reisen sind nur jene von</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Kapt</w:t>
      </w:r>
      <w:proofErr w:type="spellEnd"/>
      <w:r>
        <w:rPr>
          <w:rFonts w:ascii="Times New Roman" w:hAnsi="Times New Roman" w:cs="Times New Roman"/>
          <w:i/>
          <w:sz w:val="24"/>
          <w:szCs w:val="24"/>
        </w:rPr>
        <w:t xml:space="preserve">. Max </w:t>
      </w:r>
      <w:proofErr w:type="spellStart"/>
      <w:r>
        <w:rPr>
          <w:rFonts w:ascii="Times New Roman" w:hAnsi="Times New Roman" w:cs="Times New Roman"/>
          <w:i/>
          <w:sz w:val="24"/>
          <w:szCs w:val="24"/>
        </w:rPr>
        <w:t>Prohn</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überliefert: </w:t>
      </w:r>
    </w:p>
    <w:p w14:paraId="74361D32" w14:textId="77777777" w:rsidR="00373FC9" w:rsidRDefault="00373FC9" w:rsidP="00373FC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1902 </w:t>
      </w:r>
      <w:proofErr w:type="spellStart"/>
      <w:r>
        <w:rPr>
          <w:rFonts w:ascii="Times New Roman" w:hAnsi="Times New Roman" w:cs="Times New Roman"/>
          <w:sz w:val="24"/>
          <w:szCs w:val="24"/>
        </w:rPr>
        <w:t>Lizard</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Anjer</w:t>
      </w:r>
      <w:proofErr w:type="spellEnd"/>
      <w:r>
        <w:rPr>
          <w:rFonts w:ascii="Times New Roman" w:hAnsi="Times New Roman" w:cs="Times New Roman"/>
          <w:sz w:val="24"/>
          <w:szCs w:val="24"/>
        </w:rPr>
        <w:t xml:space="preserve">: 107 Tage, 1903 New York – Adelaide: 83 Tage, 1904 Glasgow – </w:t>
      </w:r>
      <w:proofErr w:type="spellStart"/>
      <w:r>
        <w:rPr>
          <w:rFonts w:ascii="Times New Roman" w:hAnsi="Times New Roman" w:cs="Times New Roman"/>
          <w:sz w:val="24"/>
          <w:szCs w:val="24"/>
        </w:rPr>
        <w:t>Taltal</w:t>
      </w:r>
      <w:proofErr w:type="spellEnd"/>
      <w:r>
        <w:rPr>
          <w:rFonts w:ascii="Times New Roman" w:hAnsi="Times New Roman" w:cs="Times New Roman"/>
          <w:sz w:val="24"/>
          <w:szCs w:val="24"/>
        </w:rPr>
        <w:t xml:space="preserve">:  111 Tage, 1904/05 </w:t>
      </w:r>
      <w:proofErr w:type="spellStart"/>
      <w:r>
        <w:rPr>
          <w:rFonts w:ascii="Times New Roman" w:hAnsi="Times New Roman" w:cs="Times New Roman"/>
          <w:sz w:val="24"/>
          <w:szCs w:val="24"/>
        </w:rPr>
        <w:t>Pisagua</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Lizard</w:t>
      </w:r>
      <w:proofErr w:type="spellEnd"/>
      <w:r>
        <w:rPr>
          <w:rFonts w:ascii="Times New Roman" w:hAnsi="Times New Roman" w:cs="Times New Roman"/>
          <w:sz w:val="24"/>
          <w:szCs w:val="24"/>
        </w:rPr>
        <w:t xml:space="preserve">: 117 Tage, 1905 </w:t>
      </w:r>
      <w:proofErr w:type="spellStart"/>
      <w:r>
        <w:rPr>
          <w:rFonts w:ascii="Times New Roman" w:hAnsi="Times New Roman" w:cs="Times New Roman"/>
          <w:sz w:val="24"/>
          <w:szCs w:val="24"/>
        </w:rPr>
        <w:t>Lizard</w:t>
      </w:r>
      <w:proofErr w:type="spellEnd"/>
      <w:r>
        <w:rPr>
          <w:rFonts w:ascii="Times New Roman" w:hAnsi="Times New Roman" w:cs="Times New Roman"/>
          <w:sz w:val="24"/>
          <w:szCs w:val="24"/>
        </w:rPr>
        <w:t xml:space="preserve"> – Port Natal: 64 Tage, 1905 </w:t>
      </w:r>
      <w:proofErr w:type="spellStart"/>
      <w:r>
        <w:rPr>
          <w:rFonts w:ascii="Times New Roman" w:hAnsi="Times New Roman" w:cs="Times New Roman"/>
          <w:sz w:val="24"/>
          <w:szCs w:val="24"/>
        </w:rPr>
        <w:t>Delgoa</w:t>
      </w:r>
      <w:proofErr w:type="spellEnd"/>
      <w:r>
        <w:rPr>
          <w:rFonts w:ascii="Times New Roman" w:hAnsi="Times New Roman" w:cs="Times New Roman"/>
          <w:sz w:val="24"/>
          <w:szCs w:val="24"/>
        </w:rPr>
        <w:t xml:space="preserve"> Bay – Newcastle/NSW: 42 Tage, 1905/06 Newcastle/NSW – </w:t>
      </w:r>
      <w:proofErr w:type="spellStart"/>
      <w:r>
        <w:rPr>
          <w:rFonts w:ascii="Times New Roman" w:hAnsi="Times New Roman" w:cs="Times New Roman"/>
          <w:sz w:val="24"/>
          <w:szCs w:val="24"/>
        </w:rPr>
        <w:t>Mollendo</w:t>
      </w:r>
      <w:proofErr w:type="spellEnd"/>
      <w:r>
        <w:rPr>
          <w:rFonts w:ascii="Times New Roman" w:hAnsi="Times New Roman" w:cs="Times New Roman"/>
          <w:sz w:val="24"/>
          <w:szCs w:val="24"/>
        </w:rPr>
        <w:t xml:space="preserve">/Peru: 70 Tage, 1906/07 </w:t>
      </w:r>
      <w:proofErr w:type="spellStart"/>
      <w:r>
        <w:rPr>
          <w:rFonts w:ascii="Times New Roman" w:hAnsi="Times New Roman" w:cs="Times New Roman"/>
          <w:sz w:val="24"/>
          <w:szCs w:val="24"/>
        </w:rPr>
        <w:t>Lizard</w:t>
      </w:r>
      <w:proofErr w:type="spellEnd"/>
      <w:r>
        <w:rPr>
          <w:rFonts w:ascii="Times New Roman" w:hAnsi="Times New Roman" w:cs="Times New Roman"/>
          <w:sz w:val="24"/>
          <w:szCs w:val="24"/>
        </w:rPr>
        <w:t xml:space="preserve"> – Portland/Oregon: 141 Tage und 1907 Portland/Oregon – Sydney: 59 Tage.</w:t>
      </w:r>
    </w:p>
    <w:p w14:paraId="5B0B0498" w14:textId="77777777" w:rsidR="00373FC9" w:rsidRDefault="00373FC9" w:rsidP="00373FC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Eine schnelle Reise glückte </w:t>
      </w:r>
      <w:proofErr w:type="spellStart"/>
      <w:r>
        <w:rPr>
          <w:rFonts w:ascii="Times New Roman" w:hAnsi="Times New Roman" w:cs="Times New Roman"/>
          <w:sz w:val="24"/>
          <w:szCs w:val="24"/>
        </w:rPr>
        <w:t>Kapt</w:t>
      </w:r>
      <w:proofErr w:type="spellEnd"/>
      <w:r>
        <w:rPr>
          <w:rFonts w:ascii="Times New Roman" w:hAnsi="Times New Roman" w:cs="Times New Roman"/>
          <w:sz w:val="24"/>
          <w:szCs w:val="24"/>
        </w:rPr>
        <w:t xml:space="preserve">. </w:t>
      </w:r>
      <w:r>
        <w:rPr>
          <w:rFonts w:ascii="Times New Roman" w:hAnsi="Times New Roman" w:cs="Times New Roman"/>
          <w:i/>
          <w:sz w:val="24"/>
          <w:szCs w:val="24"/>
        </w:rPr>
        <w:t xml:space="preserve">W. </w:t>
      </w:r>
      <w:proofErr w:type="spellStart"/>
      <w:r>
        <w:rPr>
          <w:rFonts w:ascii="Times New Roman" w:hAnsi="Times New Roman" w:cs="Times New Roman"/>
          <w:i/>
          <w:sz w:val="24"/>
          <w:szCs w:val="24"/>
        </w:rPr>
        <w:t>Karstädt</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1909, als er in 85 Tagen von Antofagasta nach </w:t>
      </w:r>
      <w:proofErr w:type="spellStart"/>
      <w:r>
        <w:rPr>
          <w:rFonts w:ascii="Times New Roman" w:hAnsi="Times New Roman" w:cs="Times New Roman"/>
          <w:sz w:val="24"/>
          <w:szCs w:val="24"/>
        </w:rPr>
        <w:t>Lizard</w:t>
      </w:r>
      <w:proofErr w:type="spellEnd"/>
      <w:r>
        <w:rPr>
          <w:rFonts w:ascii="Times New Roman" w:hAnsi="Times New Roman" w:cs="Times New Roman"/>
          <w:sz w:val="24"/>
          <w:szCs w:val="24"/>
        </w:rPr>
        <w:t xml:space="preserve"> segelte.</w:t>
      </w:r>
      <w:r>
        <w:rPr>
          <w:rStyle w:val="Voetnootmarkering"/>
          <w:rFonts w:ascii="Times New Roman" w:hAnsi="Times New Roman" w:cs="Times New Roman"/>
          <w:sz w:val="24"/>
          <w:szCs w:val="24"/>
        </w:rPr>
        <w:footnoteReference w:id="2"/>
      </w:r>
      <w:r>
        <w:rPr>
          <w:rFonts w:ascii="Times New Roman" w:hAnsi="Times New Roman" w:cs="Times New Roman"/>
          <w:sz w:val="24"/>
          <w:szCs w:val="24"/>
        </w:rPr>
        <w:t xml:space="preserve"> </w:t>
      </w:r>
    </w:p>
    <w:p w14:paraId="50BC17C1" w14:textId="77777777" w:rsidR="00373FC9" w:rsidRDefault="00373FC9" w:rsidP="00373FC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Ab August 1914, nach Ausbruch des Ersten Weltkriegs, lag TELLUS unter </w:t>
      </w:r>
      <w:proofErr w:type="spellStart"/>
      <w:r>
        <w:rPr>
          <w:rFonts w:ascii="Times New Roman" w:hAnsi="Times New Roman" w:cs="Times New Roman"/>
          <w:sz w:val="24"/>
          <w:szCs w:val="24"/>
        </w:rPr>
        <w:t>Kapt</w:t>
      </w:r>
      <w:proofErr w:type="spellEnd"/>
      <w:r>
        <w:rPr>
          <w:rFonts w:ascii="Times New Roman" w:hAnsi="Times New Roman" w:cs="Times New Roman"/>
          <w:sz w:val="24"/>
          <w:szCs w:val="24"/>
        </w:rPr>
        <w:t xml:space="preserve">. Heinrich Brauch interniert im damals noch neutralen Callao, wurde aber am 8. Oktober 1917,  nachdem auch Peru in den Krieg eingetreten war, von der peruanischen Regierung beschlagnahmt.  Über die Beschäftigung des Schiffes während der nächsten Jahre ist nichts bekannt, jedoch segelte TELLUS 1923 für die staatliche </w:t>
      </w:r>
      <w:proofErr w:type="spellStart"/>
      <w:r>
        <w:rPr>
          <w:rFonts w:ascii="Times New Roman" w:hAnsi="Times New Roman" w:cs="Times New Roman"/>
          <w:i/>
          <w:sz w:val="24"/>
          <w:szCs w:val="24"/>
        </w:rPr>
        <w:t>Empresa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Nacional</w:t>
      </w:r>
      <w:proofErr w:type="spellEnd"/>
      <w:r>
        <w:rPr>
          <w:rFonts w:ascii="Times New Roman" w:hAnsi="Times New Roman" w:cs="Times New Roman"/>
          <w:i/>
          <w:sz w:val="24"/>
          <w:szCs w:val="24"/>
        </w:rPr>
        <w:t xml:space="preserve"> de Transportes </w:t>
      </w:r>
      <w:proofErr w:type="spellStart"/>
      <w:r>
        <w:rPr>
          <w:rFonts w:ascii="Times New Roman" w:hAnsi="Times New Roman" w:cs="Times New Roman"/>
          <w:i/>
          <w:sz w:val="24"/>
          <w:szCs w:val="24"/>
        </w:rPr>
        <w:t>Maritimos</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Callao, in der </w:t>
      </w:r>
      <w:proofErr w:type="spellStart"/>
      <w:r>
        <w:rPr>
          <w:rFonts w:ascii="Times New Roman" w:hAnsi="Times New Roman" w:cs="Times New Roman"/>
          <w:sz w:val="24"/>
          <w:szCs w:val="24"/>
        </w:rPr>
        <w:t>Guanofahrt</w:t>
      </w:r>
      <w:proofErr w:type="spellEnd"/>
      <w:r>
        <w:rPr>
          <w:rFonts w:ascii="Times New Roman" w:hAnsi="Times New Roman" w:cs="Times New Roman"/>
          <w:sz w:val="24"/>
          <w:szCs w:val="24"/>
        </w:rPr>
        <w:t xml:space="preserve"> an der peruanischen Küste. </w:t>
      </w:r>
    </w:p>
    <w:p w14:paraId="5AE82D77" w14:textId="2613A058" w:rsidR="00373FC9" w:rsidRDefault="00373FC9" w:rsidP="00373FC9">
      <w:pPr>
        <w:spacing w:line="240" w:lineRule="auto"/>
        <w:jc w:val="center"/>
        <w:rPr>
          <w:rFonts w:ascii="Times New Roman" w:hAnsi="Times New Roman" w:cs="Times New Roman"/>
          <w:sz w:val="24"/>
          <w:szCs w:val="24"/>
        </w:rPr>
      </w:pPr>
      <w:r>
        <w:rPr>
          <w:rFonts w:ascii="Times New Roman" w:hAnsi="Times New Roman" w:cs="Times New Roman"/>
          <w:noProof/>
          <w:sz w:val="24"/>
          <w:szCs w:val="24"/>
          <w:lang w:eastAsia="de-DE"/>
        </w:rPr>
        <w:drawing>
          <wp:inline distT="0" distB="0" distL="0" distR="0" wp14:anchorId="2FA40C16" wp14:editId="5D29C266">
            <wp:extent cx="4533900" cy="2400300"/>
            <wp:effectExtent l="0" t="0" r="0" b="0"/>
            <wp:docPr id="5" name="Afbeelding 5" descr="TELLUS 1916 in Calla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TELLUS 1916 in Calla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33900" cy="2400300"/>
                    </a:xfrm>
                    <a:prstGeom prst="rect">
                      <a:avLst/>
                    </a:prstGeom>
                    <a:noFill/>
                    <a:ln>
                      <a:noFill/>
                    </a:ln>
                  </pic:spPr>
                </pic:pic>
              </a:graphicData>
            </a:graphic>
          </wp:inline>
        </w:drawing>
      </w:r>
    </w:p>
    <w:p w14:paraId="18250CB8" w14:textId="77777777" w:rsidR="00373FC9" w:rsidRDefault="00373FC9" w:rsidP="00373FC9">
      <w:pPr>
        <w:spacing w:line="240" w:lineRule="auto"/>
        <w:jc w:val="center"/>
        <w:rPr>
          <w:rFonts w:ascii="Times New Roman" w:hAnsi="Times New Roman" w:cs="Times New Roman"/>
          <w:sz w:val="24"/>
          <w:szCs w:val="24"/>
        </w:rPr>
      </w:pPr>
      <w:r>
        <w:rPr>
          <w:rFonts w:ascii="Times New Roman" w:hAnsi="Times New Roman" w:cs="Times New Roman"/>
          <w:sz w:val="24"/>
          <w:szCs w:val="24"/>
        </w:rPr>
        <w:t>TELLUS, noch unter deutscher Flagge, am 24. Dezember 1916 als Auflieger vor Callao (</w:t>
      </w:r>
      <w:proofErr w:type="spellStart"/>
      <w:r>
        <w:rPr>
          <w:rFonts w:ascii="Times New Roman" w:hAnsi="Times New Roman" w:cs="Times New Roman"/>
          <w:sz w:val="24"/>
          <w:szCs w:val="24"/>
        </w:rPr>
        <w:t>Slg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Marhisdata</w:t>
      </w:r>
      <w:proofErr w:type="spellEnd"/>
      <w:r>
        <w:rPr>
          <w:rFonts w:ascii="Times New Roman" w:hAnsi="Times New Roman" w:cs="Times New Roman"/>
          <w:sz w:val="24"/>
          <w:szCs w:val="24"/>
        </w:rPr>
        <w:t>)</w:t>
      </w:r>
    </w:p>
    <w:p w14:paraId="6065A431" w14:textId="77777777" w:rsidR="00373FC9" w:rsidRDefault="00373FC9" w:rsidP="00373FC9">
      <w:pPr>
        <w:pStyle w:val="Plattetekst"/>
      </w:pPr>
      <w:r>
        <w:t xml:space="preserve">1927 erfolgte die Übergabe an die </w:t>
      </w:r>
      <w:proofErr w:type="spellStart"/>
      <w:r>
        <w:rPr>
          <w:i/>
        </w:rPr>
        <w:t>Compania</w:t>
      </w:r>
      <w:proofErr w:type="spellEnd"/>
      <w:r>
        <w:rPr>
          <w:i/>
        </w:rPr>
        <w:t xml:space="preserve"> </w:t>
      </w:r>
      <w:proofErr w:type="spellStart"/>
      <w:r>
        <w:rPr>
          <w:i/>
        </w:rPr>
        <w:t>Administradora</w:t>
      </w:r>
      <w:proofErr w:type="spellEnd"/>
      <w:r>
        <w:rPr>
          <w:i/>
        </w:rPr>
        <w:t xml:space="preserve"> del Guano </w:t>
      </w:r>
      <w:proofErr w:type="spellStart"/>
      <w:r>
        <w:rPr>
          <w:i/>
        </w:rPr>
        <w:t>Ltda</w:t>
      </w:r>
      <w:proofErr w:type="spellEnd"/>
      <w:r>
        <w:rPr>
          <w:i/>
        </w:rPr>
        <w:t>., El Callao</w:t>
      </w:r>
      <w:r>
        <w:t xml:space="preserve">. Diese 1909 gegründete Gesellschaft war vom Staat mit Gewinnung, Pflege und Transport des Guanos von allen Inseln der peruanischen Küste beauftragt. Sie hielt damit das Monopol für den Abbau und den Transport dieses Rohstoffs. Bedeutende internationale Wissenschaftler wurden von ihr beauftragt, die Lebensweise der </w:t>
      </w:r>
      <w:proofErr w:type="spellStart"/>
      <w:r>
        <w:t>Guanovögel</w:t>
      </w:r>
      <w:proofErr w:type="spellEnd"/>
      <w:r>
        <w:t xml:space="preserve"> und die Gründe für deren Sterblichkeit zu untersuchen. Sie machten wichtige Vorschläge, wie die Vögel unter optimalen Bedingungen gehalten werden konnten und waren derart effizient, dass deren Population innerhalb von 50 </w:t>
      </w:r>
      <w:r>
        <w:lastRenderedPageBreak/>
        <w:t xml:space="preserve">Jahren von rund vier Millionen auf etwa 40 Millionen wachsen konnte.  Entsprechend stieg auch die Produktion von Guano um das zehnfache. </w:t>
      </w:r>
    </w:p>
    <w:p w14:paraId="3658D23B" w14:textId="77777777" w:rsidR="00373FC9" w:rsidRDefault="00373FC9" w:rsidP="00373FC9">
      <w:pPr>
        <w:pStyle w:val="Plattetekst"/>
      </w:pPr>
    </w:p>
    <w:p w14:paraId="0885E087" w14:textId="0C2139EF" w:rsidR="00373FC9" w:rsidRDefault="00373FC9" w:rsidP="00373FC9">
      <w:pPr>
        <w:pStyle w:val="Plattetekst"/>
        <w:jc w:val="center"/>
      </w:pPr>
      <w:r>
        <w:rPr>
          <w:noProof/>
        </w:rPr>
        <w:drawing>
          <wp:inline distT="0" distB="0" distL="0" distR="0" wp14:anchorId="437081D5" wp14:editId="51CBA261">
            <wp:extent cx="4533900" cy="2724150"/>
            <wp:effectExtent l="0" t="0" r="0" b="0"/>
            <wp:docPr id="4" name="Afbeelding 4"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image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33900" cy="2724150"/>
                    </a:xfrm>
                    <a:prstGeom prst="rect">
                      <a:avLst/>
                    </a:prstGeom>
                    <a:noFill/>
                    <a:ln>
                      <a:noFill/>
                    </a:ln>
                  </pic:spPr>
                </pic:pic>
              </a:graphicData>
            </a:graphic>
          </wp:inline>
        </w:drawing>
      </w:r>
    </w:p>
    <w:p w14:paraId="13034C46" w14:textId="77777777" w:rsidR="00373FC9" w:rsidRDefault="00373FC9" w:rsidP="00373FC9">
      <w:pPr>
        <w:pStyle w:val="Plattetekst"/>
        <w:jc w:val="center"/>
      </w:pPr>
      <w:r>
        <w:t xml:space="preserve">Guano, der sich in mächtigen Schichten auf den </w:t>
      </w:r>
      <w:proofErr w:type="spellStart"/>
      <w:r>
        <w:t>Chinchas</w:t>
      </w:r>
      <w:proofErr w:type="spellEnd"/>
      <w:r>
        <w:t>-Inseln abgelagert hatte, musste mühevoll in Handarbeit abgebaut werden.</w:t>
      </w:r>
    </w:p>
    <w:p w14:paraId="0091D9DF" w14:textId="77777777" w:rsidR="00373FC9" w:rsidRDefault="00373FC9" w:rsidP="00373FC9">
      <w:pPr>
        <w:pStyle w:val="Plattetekst"/>
        <w:jc w:val="center"/>
      </w:pPr>
    </w:p>
    <w:p w14:paraId="765FFB94" w14:textId="4D5C648E" w:rsidR="00373FC9" w:rsidRDefault="00373FC9" w:rsidP="00373FC9">
      <w:pPr>
        <w:pStyle w:val="Plattetekst"/>
        <w:jc w:val="center"/>
      </w:pPr>
      <w:r>
        <w:rPr>
          <w:noProof/>
        </w:rPr>
        <w:drawing>
          <wp:inline distT="0" distB="0" distL="0" distR="0" wp14:anchorId="4E319A0D" wp14:editId="6D2F5F00">
            <wp:extent cx="4248150" cy="2705100"/>
            <wp:effectExtent l="0" t="0" r="0" b="0"/>
            <wp:docPr id="3" name="Afbeelding 3" descr="Guanoarbeiter, Mittagspause, Chincha-Isl. 1929, Ok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Guanoarbeiter, Mittagspause, Chincha-Isl. 1929, Okt..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48150" cy="2705100"/>
                    </a:xfrm>
                    <a:prstGeom prst="rect">
                      <a:avLst/>
                    </a:prstGeom>
                    <a:noFill/>
                    <a:ln>
                      <a:noFill/>
                    </a:ln>
                  </pic:spPr>
                </pic:pic>
              </a:graphicData>
            </a:graphic>
          </wp:inline>
        </w:drawing>
      </w:r>
    </w:p>
    <w:p w14:paraId="5B43461D" w14:textId="77777777" w:rsidR="00373FC9" w:rsidRDefault="00373FC9" w:rsidP="00373FC9">
      <w:pPr>
        <w:pStyle w:val="Plattetekst"/>
        <w:jc w:val="center"/>
      </w:pPr>
      <w:r>
        <w:t>Mittagspause der Guano-Arbeiter mit „Appetit und guter Laune“.</w:t>
      </w:r>
    </w:p>
    <w:p w14:paraId="3EE5BAC0" w14:textId="77777777" w:rsidR="00373FC9" w:rsidRDefault="00373FC9" w:rsidP="00373FC9">
      <w:pPr>
        <w:pStyle w:val="Plattetekst"/>
        <w:jc w:val="center"/>
      </w:pPr>
      <w:r>
        <w:t>(2 Abb. Aus https://sites.google.com/site/cadmguano/home#)</w:t>
      </w:r>
    </w:p>
    <w:p w14:paraId="0E3A2707" w14:textId="77777777" w:rsidR="00373FC9" w:rsidRDefault="00373FC9" w:rsidP="00373FC9">
      <w:pPr>
        <w:pStyle w:val="Plattetekst"/>
      </w:pPr>
    </w:p>
    <w:p w14:paraId="67F7F1C3" w14:textId="77777777" w:rsidR="00373FC9" w:rsidRDefault="00373FC9" w:rsidP="00373FC9">
      <w:pPr>
        <w:pStyle w:val="Plattetekst"/>
      </w:pPr>
      <w:r>
        <w:t>Ab Mitte der 1920er Jahre betrieb diese Firma eine eigne Reederei, die außer dem eisernen Dampfer TRES HERMANOS</w:t>
      </w:r>
      <w:r>
        <w:rPr>
          <w:rStyle w:val="Voetnootmarkering"/>
        </w:rPr>
        <w:footnoteReference w:id="3"/>
      </w:r>
      <w:r>
        <w:t xml:space="preserve"> und dem hölzernen Dreimastschoner BALLESTAS</w:t>
      </w:r>
      <w:r>
        <w:rPr>
          <w:rStyle w:val="Voetnootmarkering"/>
        </w:rPr>
        <w:footnoteReference w:id="4"/>
      </w:r>
      <w:r>
        <w:t xml:space="preserve">, beide amerikanischer Herkunft, noch drei Hamburger Prisenschiffe besaß, nämlich das Vollschiff MAIPO und die Viermastbark OMEGA (beides ehemalige „1886er“), sowie unsere Bark TELLUS. Zur Versorgung der inländischen Zuckerplantagen transportierte diese kleine Oldtimerflotte im Auftrag der staatlichen Monopolgesellschaft Guano von den vorgelagerten </w:t>
      </w:r>
      <w:proofErr w:type="spellStart"/>
      <w:r>
        <w:lastRenderedPageBreak/>
        <w:t>Chinchas</w:t>
      </w:r>
      <w:proofErr w:type="spellEnd"/>
      <w:r>
        <w:t>- und Santa Rosa Inseln zu den kleinen Hafenplätzen an der peruanischen Küste,  hauptsächlich aber nach Callao.</w:t>
      </w:r>
    </w:p>
    <w:p w14:paraId="2E02A4DA" w14:textId="77777777" w:rsidR="00373FC9" w:rsidRDefault="00373FC9" w:rsidP="00373FC9">
      <w:pPr>
        <w:pStyle w:val="Plattetekst"/>
      </w:pPr>
      <w:r>
        <w:t>Bis in die 1950er Jahre konnte man diese anachronistischen Überbleibsel aus längst vergangenen Tagen auf ihren Fahrten entlang der Küste beobachten: nordwärts unter Segeln, südwärts, wegen des entgegen stehenden Peru-Stroms, gelegentlich im Schlepp. Verfasser hatte das seltene Glück, 1954 am selben Tag einmal alle drei alten Segler auf Callao-Reede vor Anker liegen zu sehen: ein Anblick, der ihn um 50 Jahre zurück versetzte. „</w:t>
      </w:r>
      <w:r>
        <w:rPr>
          <w:i/>
        </w:rPr>
        <w:t xml:space="preserve">The </w:t>
      </w:r>
      <w:proofErr w:type="spellStart"/>
      <w:r>
        <w:rPr>
          <w:i/>
        </w:rPr>
        <w:t>only</w:t>
      </w:r>
      <w:proofErr w:type="spellEnd"/>
      <w:r>
        <w:rPr>
          <w:i/>
        </w:rPr>
        <w:t xml:space="preserve"> </w:t>
      </w:r>
      <w:proofErr w:type="spellStart"/>
      <w:r>
        <w:rPr>
          <w:i/>
        </w:rPr>
        <w:t>commercial</w:t>
      </w:r>
      <w:proofErr w:type="spellEnd"/>
      <w:r>
        <w:rPr>
          <w:i/>
        </w:rPr>
        <w:t xml:space="preserve"> </w:t>
      </w:r>
      <w:proofErr w:type="spellStart"/>
      <w:r>
        <w:rPr>
          <w:i/>
        </w:rPr>
        <w:t>square-rigged</w:t>
      </w:r>
      <w:proofErr w:type="spellEnd"/>
      <w:r>
        <w:rPr>
          <w:i/>
        </w:rPr>
        <w:t xml:space="preserve"> </w:t>
      </w:r>
      <w:proofErr w:type="spellStart"/>
      <w:r>
        <w:rPr>
          <w:i/>
        </w:rPr>
        <w:t>sailing</w:t>
      </w:r>
      <w:proofErr w:type="spellEnd"/>
      <w:r>
        <w:rPr>
          <w:i/>
        </w:rPr>
        <w:t xml:space="preserve"> </w:t>
      </w:r>
      <w:proofErr w:type="spellStart"/>
      <w:r>
        <w:rPr>
          <w:i/>
        </w:rPr>
        <w:t>ships</w:t>
      </w:r>
      <w:proofErr w:type="spellEnd"/>
      <w:r>
        <w:rPr>
          <w:i/>
        </w:rPr>
        <w:t xml:space="preserve"> still </w:t>
      </w:r>
      <w:proofErr w:type="spellStart"/>
      <w:r>
        <w:rPr>
          <w:i/>
        </w:rPr>
        <w:t>operating</w:t>
      </w:r>
      <w:proofErr w:type="spellEnd"/>
      <w:r>
        <w:rPr>
          <w:i/>
        </w:rPr>
        <w:t xml:space="preserve"> </w:t>
      </w:r>
      <w:proofErr w:type="spellStart"/>
      <w:r>
        <w:rPr>
          <w:i/>
        </w:rPr>
        <w:t>anywhere</w:t>
      </w:r>
      <w:proofErr w:type="spellEnd"/>
      <w:r>
        <w:rPr>
          <w:i/>
        </w:rPr>
        <w:t xml:space="preserve"> in </w:t>
      </w:r>
      <w:proofErr w:type="spellStart"/>
      <w:r>
        <w:rPr>
          <w:i/>
        </w:rPr>
        <w:t>the</w:t>
      </w:r>
      <w:proofErr w:type="spellEnd"/>
      <w:r>
        <w:rPr>
          <w:i/>
        </w:rPr>
        <w:t xml:space="preserve"> </w:t>
      </w:r>
      <w:proofErr w:type="spellStart"/>
      <w:r>
        <w:rPr>
          <w:i/>
        </w:rPr>
        <w:t>world</w:t>
      </w:r>
      <w:proofErr w:type="spellEnd"/>
      <w:r>
        <w:rPr>
          <w:i/>
        </w:rPr>
        <w:t>…“</w:t>
      </w:r>
      <w:r>
        <w:rPr>
          <w:rStyle w:val="Voetnootmarkering"/>
        </w:rPr>
        <w:t xml:space="preserve"> </w:t>
      </w:r>
      <w:r>
        <w:rPr>
          <w:rStyle w:val="Voetnootmarkering"/>
        </w:rPr>
        <w:footnoteReference w:id="5"/>
      </w:r>
      <w:r>
        <w:t xml:space="preserve"> </w:t>
      </w:r>
    </w:p>
    <w:p w14:paraId="367AFEF6" w14:textId="77777777" w:rsidR="00373FC9" w:rsidRDefault="00373FC9" w:rsidP="00373FC9">
      <w:pPr>
        <w:pStyle w:val="Plattetekst"/>
      </w:pPr>
    </w:p>
    <w:p w14:paraId="2793ECF3" w14:textId="148F5969" w:rsidR="00373FC9" w:rsidRDefault="00373FC9" w:rsidP="00373FC9">
      <w:pPr>
        <w:pStyle w:val="Plattetekst"/>
        <w:jc w:val="center"/>
      </w:pPr>
      <w:r>
        <w:rPr>
          <w:noProof/>
        </w:rPr>
        <w:drawing>
          <wp:inline distT="0" distB="0" distL="0" distR="0" wp14:anchorId="5FEFBE1C" wp14:editId="22A44F9F">
            <wp:extent cx="5760720" cy="3551555"/>
            <wp:effectExtent l="0" t="0" r="0" b="0"/>
            <wp:docPr id="2" name="Afbeelding 2" descr="TELLUS angebl. 19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TELLUS angebl. 195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3551555"/>
                    </a:xfrm>
                    <a:prstGeom prst="rect">
                      <a:avLst/>
                    </a:prstGeom>
                    <a:noFill/>
                    <a:ln>
                      <a:noFill/>
                    </a:ln>
                  </pic:spPr>
                </pic:pic>
              </a:graphicData>
            </a:graphic>
          </wp:inline>
        </w:drawing>
      </w:r>
    </w:p>
    <w:p w14:paraId="70F5E7FD" w14:textId="77777777" w:rsidR="00373FC9" w:rsidRDefault="00373FC9" w:rsidP="00373FC9">
      <w:pPr>
        <w:pStyle w:val="Plattetekst"/>
        <w:jc w:val="center"/>
      </w:pPr>
      <w:r>
        <w:t xml:space="preserve">TELLUS im September 1952 mit voller Ladung (Foto: </w:t>
      </w:r>
      <w:proofErr w:type="spellStart"/>
      <w:r>
        <w:t>Acisclo</w:t>
      </w:r>
      <w:proofErr w:type="spellEnd"/>
      <w:r>
        <w:t xml:space="preserve"> </w:t>
      </w:r>
      <w:proofErr w:type="spellStart"/>
      <w:r>
        <w:t>Vallaran</w:t>
      </w:r>
      <w:proofErr w:type="spellEnd"/>
      <w:r>
        <w:t xml:space="preserve">, Lima, </w:t>
      </w:r>
      <w:proofErr w:type="spellStart"/>
      <w:r>
        <w:t>Slg</w:t>
      </w:r>
      <w:proofErr w:type="spellEnd"/>
      <w:r>
        <w:t xml:space="preserve">. </w:t>
      </w:r>
      <w:proofErr w:type="spellStart"/>
      <w:r>
        <w:t>Marhisdata</w:t>
      </w:r>
      <w:proofErr w:type="spellEnd"/>
      <w:r>
        <w:t>)</w:t>
      </w:r>
    </w:p>
    <w:p w14:paraId="24D1BA37" w14:textId="77777777" w:rsidR="00373FC9" w:rsidRDefault="00373FC9" w:rsidP="00373FC9">
      <w:pPr>
        <w:pStyle w:val="Plattetekst"/>
      </w:pPr>
    </w:p>
    <w:p w14:paraId="1CE199A3" w14:textId="77777777" w:rsidR="00373FC9" w:rsidRDefault="00373FC9" w:rsidP="00373FC9">
      <w:pPr>
        <w:pStyle w:val="Plattetekst"/>
      </w:pPr>
      <w:r>
        <w:t>Mit deren Zustand allerdings ging es zusehends abwärts: jahrzehntelang den aggressiven Ammoniakdünsten des Guano ausgesetzt, waren die Eisenplatten angegriffen, das Holzdeck morsch, Segel und Rigg  mürbe und die mit Seepocken übersäten Rümpfe unansehnlich geworden. Es war offensichtlich, dass für ihren Unterhalt nur das unbedingt Nötigste getan wurde. So wurden die mürbe gewordenen großen Untersegel nach ihrer Ausmusterung in den letzten Jahren nicht wieder erneuert.</w:t>
      </w:r>
    </w:p>
    <w:p w14:paraId="15CFCAE6" w14:textId="77777777" w:rsidR="00373FC9" w:rsidRDefault="00373FC9" w:rsidP="00373FC9">
      <w:pPr>
        <w:pStyle w:val="Plattetekst"/>
      </w:pPr>
      <w:r>
        <w:t xml:space="preserve">1952 wurden die Schiffe nicht weniger als neunmal zur Versteigerung ausgeschrieben, doch, obwohl die gewünschte Summe von 30.000$ bis auf 12.000$ vermindert wurden, fand sich kein Käufer. TELLUS, die als einzige noch ein vollständiges Stell Segel besaß, wurde unter neuem Namen MALABOO erfolglos zum schwimmenden Nachtclub eingerichtet, jedoch im Jahr darauf, 1957, zum Abwracken an die belgische </w:t>
      </w:r>
      <w:r>
        <w:rPr>
          <w:i/>
        </w:rPr>
        <w:t xml:space="preserve">Firma Van </w:t>
      </w:r>
      <w:proofErr w:type="spellStart"/>
      <w:r>
        <w:rPr>
          <w:i/>
        </w:rPr>
        <w:t>Heyghen</w:t>
      </w:r>
      <w:proofErr w:type="spellEnd"/>
      <w:r>
        <w:rPr>
          <w:i/>
        </w:rPr>
        <w:t xml:space="preserve"> Gebr. N.V., Gent</w:t>
      </w:r>
      <w:r>
        <w:t>, verkauft.</w:t>
      </w:r>
      <w:r>
        <w:rPr>
          <w:rStyle w:val="Voetnootmarkering"/>
        </w:rPr>
        <w:footnoteReference w:id="6"/>
      </w:r>
      <w:r>
        <w:t xml:space="preserve"> </w:t>
      </w:r>
    </w:p>
    <w:p w14:paraId="5FA7945F" w14:textId="77777777" w:rsidR="00373FC9" w:rsidRDefault="00373FC9" w:rsidP="00373FC9">
      <w:pPr>
        <w:pStyle w:val="Plattetekst"/>
      </w:pPr>
      <w:r>
        <w:t xml:space="preserve">Beladen mit 2.000 </w:t>
      </w:r>
      <w:proofErr w:type="spellStart"/>
      <w:r>
        <w:t>tons</w:t>
      </w:r>
      <w:proofErr w:type="spellEnd"/>
      <w:r>
        <w:t xml:space="preserve"> Schrott verließ die Bark am 22. Mai 1957 im  Tau des portugiesischen Schleppers PRAIA GRANDE den Hafen von Callao zur ihrer  letzten Reise nach Gent. Im </w:t>
      </w:r>
      <w:r>
        <w:lastRenderedPageBreak/>
        <w:t xml:space="preserve">Panamakanal  stellte man Leckagen fest, die in </w:t>
      </w:r>
      <w:proofErr w:type="spellStart"/>
      <w:r>
        <w:t>Christobal</w:t>
      </w:r>
      <w:proofErr w:type="spellEnd"/>
      <w:r>
        <w:t xml:space="preserve"> behoben wurden. Bereits am 12. Juni 1957 konnte  die unterbrochene Altantiküberquerung fortgesetzt werden. Wenige Wochen später fand dieser bis zuletzt aktiv in der Frachtfahrt beschäftigt gewesene Segler mit 66 Jahren unter den Schneidbrennern des </w:t>
      </w:r>
      <w:proofErr w:type="spellStart"/>
      <w:r>
        <w:t>Abwrackers</w:t>
      </w:r>
      <w:proofErr w:type="spellEnd"/>
      <w:r>
        <w:t xml:space="preserve"> in Gent sein endgültiges Ende. </w:t>
      </w:r>
    </w:p>
    <w:p w14:paraId="3AF3F0E8" w14:textId="77777777" w:rsidR="00373FC9" w:rsidRDefault="00373FC9" w:rsidP="00373FC9">
      <w:pPr>
        <w:pStyle w:val="Plattetekst"/>
      </w:pPr>
    </w:p>
    <w:p w14:paraId="3B6DB971" w14:textId="4454B17B" w:rsidR="00373FC9" w:rsidRDefault="00373FC9" w:rsidP="00373FC9">
      <w:pPr>
        <w:pStyle w:val="Plattetekst"/>
        <w:jc w:val="center"/>
      </w:pPr>
      <w:r>
        <w:rPr>
          <w:noProof/>
        </w:rPr>
        <w:drawing>
          <wp:inline distT="0" distB="0" distL="0" distR="0" wp14:anchorId="0B5D2CC4" wp14:editId="4C67C746">
            <wp:extent cx="4114800" cy="5657850"/>
            <wp:effectExtent l="0" t="0" r="0" b="0"/>
            <wp:docPr id="1" name="Afbeelding 1" descr="TELLUS unter Segeln vor Calla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descr="TELLUS unter Segeln vor Calla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14800" cy="5657850"/>
                    </a:xfrm>
                    <a:prstGeom prst="rect">
                      <a:avLst/>
                    </a:prstGeom>
                    <a:noFill/>
                    <a:ln>
                      <a:noFill/>
                    </a:ln>
                  </pic:spPr>
                </pic:pic>
              </a:graphicData>
            </a:graphic>
          </wp:inline>
        </w:drawing>
      </w:r>
    </w:p>
    <w:p w14:paraId="7B6FF0A0" w14:textId="77777777" w:rsidR="00373FC9" w:rsidRDefault="00373FC9" w:rsidP="00373FC9">
      <w:pPr>
        <w:pStyle w:val="Plattetekst"/>
        <w:jc w:val="center"/>
      </w:pPr>
      <w:r>
        <w:t>TELLUS verlässt die Reede von Callao in Ballast (</w:t>
      </w:r>
      <w:proofErr w:type="spellStart"/>
      <w:r>
        <w:t>Slg</w:t>
      </w:r>
      <w:proofErr w:type="spellEnd"/>
      <w:r>
        <w:t>. Verfasser)</w:t>
      </w:r>
    </w:p>
    <w:p w14:paraId="106F1C65" w14:textId="717F9404" w:rsidR="00373FC9" w:rsidRDefault="00373FC9" w:rsidP="00373FC9">
      <w:pPr>
        <w:spacing w:line="240" w:lineRule="auto"/>
        <w:jc w:val="both"/>
        <w:rPr>
          <w:rFonts w:ascii="Times New Roman" w:hAnsi="Times New Roman" w:cs="Times New Roman"/>
          <w:sz w:val="24"/>
          <w:szCs w:val="24"/>
        </w:rPr>
      </w:pPr>
    </w:p>
    <w:p w14:paraId="11A10252" w14:textId="5B327A29" w:rsidR="00373FC9" w:rsidRDefault="005B61E9" w:rsidP="005B61E9">
      <w:pPr>
        <w:rPr>
          <w:rFonts w:ascii="Times New Roman" w:hAnsi="Times New Roman" w:cs="Times New Roman"/>
          <w:b/>
          <w:sz w:val="24"/>
          <w:szCs w:val="24"/>
        </w:rPr>
      </w:pPr>
      <w:r>
        <w:rPr>
          <w:rFonts w:ascii="Times New Roman" w:hAnsi="Times New Roman" w:cs="Times New Roman"/>
          <w:b/>
          <w:sz w:val="24"/>
          <w:szCs w:val="24"/>
        </w:rPr>
        <w:br/>
      </w:r>
      <w:r w:rsidR="00373FC9">
        <w:rPr>
          <w:rFonts w:ascii="Times New Roman" w:hAnsi="Times New Roman" w:cs="Times New Roman"/>
          <w:b/>
          <w:sz w:val="24"/>
          <w:szCs w:val="24"/>
        </w:rPr>
        <w:t>Itzehoe</w:t>
      </w:r>
      <w:r>
        <w:rPr>
          <w:rFonts w:ascii="Times New Roman" w:hAnsi="Times New Roman" w:cs="Times New Roman"/>
          <w:b/>
          <w:sz w:val="24"/>
          <w:szCs w:val="24"/>
        </w:rPr>
        <w:t>, Dezember 2020</w:t>
      </w:r>
      <w:r w:rsidRPr="005B61E9">
        <w:rPr>
          <w:rFonts w:ascii="Times New Roman" w:hAnsi="Times New Roman" w:cs="Times New Roman"/>
          <w:b/>
          <w:sz w:val="24"/>
          <w:szCs w:val="24"/>
        </w:rPr>
        <w:t xml:space="preserve"> </w:t>
      </w:r>
      <w:r>
        <w:rPr>
          <w:rFonts w:ascii="Times New Roman" w:hAnsi="Times New Roman" w:cs="Times New Roman"/>
          <w:b/>
          <w:sz w:val="24"/>
          <w:szCs w:val="24"/>
        </w:rPr>
        <w:br/>
      </w:r>
      <w:r>
        <w:rPr>
          <w:rFonts w:ascii="Times New Roman" w:hAnsi="Times New Roman" w:cs="Times New Roman"/>
          <w:b/>
          <w:sz w:val="24"/>
          <w:szCs w:val="24"/>
        </w:rPr>
        <w:t>Herbert Karting</w:t>
      </w:r>
    </w:p>
    <w:p w14:paraId="31A8A91B" w14:textId="77777777" w:rsidR="007822D7" w:rsidRDefault="007822D7"/>
    <w:sectPr w:rsidR="007822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FBA248" w14:textId="77777777" w:rsidR="00D13C0E" w:rsidRDefault="00D13C0E" w:rsidP="00373FC9">
      <w:pPr>
        <w:spacing w:after="0" w:line="240" w:lineRule="auto"/>
      </w:pPr>
      <w:r>
        <w:separator/>
      </w:r>
    </w:p>
  </w:endnote>
  <w:endnote w:type="continuationSeparator" w:id="0">
    <w:p w14:paraId="57890166" w14:textId="77777777" w:rsidR="00D13C0E" w:rsidRDefault="00D13C0E" w:rsidP="00373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F7E198" w14:textId="77777777" w:rsidR="00D13C0E" w:rsidRDefault="00D13C0E" w:rsidP="00373FC9">
      <w:pPr>
        <w:spacing w:after="0" w:line="240" w:lineRule="auto"/>
      </w:pPr>
      <w:r>
        <w:separator/>
      </w:r>
    </w:p>
  </w:footnote>
  <w:footnote w:type="continuationSeparator" w:id="0">
    <w:p w14:paraId="6E8CBAAF" w14:textId="77777777" w:rsidR="00D13C0E" w:rsidRDefault="00D13C0E" w:rsidP="00373FC9">
      <w:pPr>
        <w:spacing w:after="0" w:line="240" w:lineRule="auto"/>
      </w:pPr>
      <w:r>
        <w:continuationSeparator/>
      </w:r>
    </w:p>
  </w:footnote>
  <w:footnote w:id="1">
    <w:p w14:paraId="68E2BD08" w14:textId="77777777" w:rsidR="00373FC9" w:rsidRDefault="00373FC9" w:rsidP="00373FC9">
      <w:pPr>
        <w:pStyle w:val="Voetnoottekst"/>
      </w:pPr>
      <w:r>
        <w:rPr>
          <w:rStyle w:val="Voetnootmarkering"/>
        </w:rPr>
        <w:footnoteRef/>
      </w:r>
      <w:r>
        <w:t xml:space="preserve">  Alle Positionsmeldungen aus </w:t>
      </w:r>
      <w:proofErr w:type="spellStart"/>
      <w:r>
        <w:t>Marhisdata</w:t>
      </w:r>
      <w:proofErr w:type="spellEnd"/>
      <w:r>
        <w:t>-Kartei EVERTSEN – ID 2134.</w:t>
      </w:r>
    </w:p>
  </w:footnote>
  <w:footnote w:id="2">
    <w:p w14:paraId="5D7AD36A" w14:textId="77777777" w:rsidR="00373FC9" w:rsidRDefault="00373FC9" w:rsidP="00373FC9">
      <w:pPr>
        <w:pStyle w:val="Voetnoottekst"/>
      </w:pPr>
      <w:r>
        <w:rPr>
          <w:rStyle w:val="Voetnootmarkering"/>
        </w:rPr>
        <w:footnoteRef/>
      </w:r>
      <w:r>
        <w:t xml:space="preserve">  J. Meyer. Hamburgs Segelschiffe, S. 32/33</w:t>
      </w:r>
    </w:p>
  </w:footnote>
  <w:footnote w:id="3">
    <w:p w14:paraId="4C0D7ED8" w14:textId="77777777" w:rsidR="00373FC9" w:rsidRDefault="00373FC9" w:rsidP="00373FC9">
      <w:pPr>
        <w:pStyle w:val="Voetnoottekst"/>
      </w:pPr>
      <w:r>
        <w:rPr>
          <w:rStyle w:val="Voetnootmarkering"/>
        </w:rPr>
        <w:footnoteRef/>
      </w:r>
      <w:r>
        <w:t xml:space="preserve">  TRES HERMANOS ex RICHMONT, </w:t>
      </w:r>
      <w:proofErr w:type="spellStart"/>
      <w:r>
        <w:t>eis.D</w:t>
      </w:r>
      <w:proofErr w:type="spellEnd"/>
      <w:r>
        <w:t xml:space="preserve">, 1269 BRT / 863 NRT, 114 NHP, </w:t>
      </w:r>
      <w:proofErr w:type="spellStart"/>
      <w:r>
        <w:t>gbt</w:t>
      </w:r>
      <w:proofErr w:type="spellEnd"/>
      <w:r>
        <w:t xml:space="preserve">. 1873 v. </w:t>
      </w:r>
      <w:proofErr w:type="spellStart"/>
      <w:r>
        <w:t>Tredecar</w:t>
      </w:r>
      <w:proofErr w:type="spellEnd"/>
      <w:r>
        <w:t xml:space="preserve"> Iron Works, Richmond, Va.</w:t>
      </w:r>
    </w:p>
  </w:footnote>
  <w:footnote w:id="4">
    <w:p w14:paraId="3CC80F8B" w14:textId="77777777" w:rsidR="00373FC9" w:rsidRDefault="00373FC9" w:rsidP="00373FC9">
      <w:pPr>
        <w:pStyle w:val="Voetnoottekst"/>
      </w:pPr>
      <w:r>
        <w:rPr>
          <w:rStyle w:val="Voetnootmarkering"/>
        </w:rPr>
        <w:footnoteRef/>
      </w:r>
      <w:r>
        <w:t xml:space="preserve">  BALLESTAS ex ETHEL STERLING ex J. M. WEATHERWAX, h3MstSr, 384 BRT / 365 NRT, </w:t>
      </w:r>
      <w:proofErr w:type="spellStart"/>
      <w:r>
        <w:t>gbt</w:t>
      </w:r>
      <w:proofErr w:type="spellEnd"/>
      <w:r>
        <w:t xml:space="preserve">. 1891 Aberdeen, </w:t>
      </w:r>
      <w:proofErr w:type="spellStart"/>
      <w:r>
        <w:t>Wash</w:t>
      </w:r>
      <w:proofErr w:type="spellEnd"/>
    </w:p>
  </w:footnote>
  <w:footnote w:id="5">
    <w:p w14:paraId="620910A0" w14:textId="77777777" w:rsidR="00373FC9" w:rsidRDefault="00373FC9" w:rsidP="00373FC9">
      <w:pPr>
        <w:pStyle w:val="Voetnoottekst"/>
      </w:pPr>
      <w:r>
        <w:rPr>
          <w:rStyle w:val="Voetnootmarkering"/>
        </w:rPr>
        <w:footnoteRef/>
      </w:r>
      <w:r>
        <w:rPr>
          <w:rStyle w:val="Voetnootmarkering"/>
        </w:rPr>
        <w:footnoteRef/>
      </w:r>
      <w:r>
        <w:t xml:space="preserve"> F. D. </w:t>
      </w:r>
      <w:proofErr w:type="spellStart"/>
      <w:r>
        <w:t>Wilhelmsen</w:t>
      </w:r>
      <w:proofErr w:type="spellEnd"/>
      <w:r>
        <w:t xml:space="preserve">: Omega. Last </w:t>
      </w:r>
      <w:proofErr w:type="spellStart"/>
      <w:r>
        <w:t>of</w:t>
      </w:r>
      <w:proofErr w:type="spellEnd"/>
      <w:r>
        <w:t xml:space="preserve"> </w:t>
      </w:r>
      <w:proofErr w:type="spellStart"/>
      <w:r>
        <w:t>the</w:t>
      </w:r>
      <w:proofErr w:type="spellEnd"/>
      <w:r>
        <w:t xml:space="preserve"> </w:t>
      </w:r>
      <w:proofErr w:type="spellStart"/>
      <w:r>
        <w:t>barques</w:t>
      </w:r>
      <w:proofErr w:type="spellEnd"/>
      <w:r>
        <w:t>, Westminster 1956</w:t>
      </w:r>
    </w:p>
    <w:p w14:paraId="10CFAEC2" w14:textId="77777777" w:rsidR="00373FC9" w:rsidRDefault="00373FC9" w:rsidP="00373FC9">
      <w:pPr>
        <w:pStyle w:val="Voetnoottekst"/>
      </w:pPr>
    </w:p>
  </w:footnote>
  <w:footnote w:id="6">
    <w:p w14:paraId="0A6FF9C8" w14:textId="77777777" w:rsidR="00373FC9" w:rsidRDefault="00373FC9" w:rsidP="00373FC9">
      <w:pPr>
        <w:pStyle w:val="Voetnoottekst"/>
      </w:pPr>
      <w:r>
        <w:rPr>
          <w:rStyle w:val="Voetnootmarkering"/>
        </w:rPr>
        <w:footnoteRef/>
      </w:r>
      <w:r>
        <w:t xml:space="preserve">  A. Hurst, </w:t>
      </w:r>
      <w:proofErr w:type="spellStart"/>
      <w:r>
        <w:t>square</w:t>
      </w:r>
      <w:proofErr w:type="spellEnd"/>
      <w:r>
        <w:t xml:space="preserve"> Riggers, </w:t>
      </w:r>
      <w:proofErr w:type="spellStart"/>
      <w:r>
        <w:t>the</w:t>
      </w:r>
      <w:proofErr w:type="spellEnd"/>
      <w:r>
        <w:t xml:space="preserve"> final </w:t>
      </w:r>
      <w:proofErr w:type="spellStart"/>
      <w:r>
        <w:t>epoch</w:t>
      </w:r>
      <w:proofErr w:type="spellEnd"/>
      <w:r>
        <w:t>, S. 503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FC9"/>
    <w:rsid w:val="00373FC9"/>
    <w:rsid w:val="004D6D54"/>
    <w:rsid w:val="005B61E9"/>
    <w:rsid w:val="007822D7"/>
    <w:rsid w:val="00D13C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3104D"/>
  <w15:chartTrackingRefBased/>
  <w15:docId w15:val="{B43B2185-37F0-4F81-9343-EA2BA79A8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73FC9"/>
    <w:pPr>
      <w:spacing w:after="200" w:line="276" w:lineRule="auto"/>
    </w:pPr>
    <w:rPr>
      <w:lang w:val="de-D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373FC9"/>
    <w:pPr>
      <w:spacing w:after="0" w:line="240" w:lineRule="auto"/>
    </w:pPr>
    <w:rPr>
      <w:sz w:val="20"/>
      <w:szCs w:val="20"/>
    </w:rPr>
  </w:style>
  <w:style w:type="character" w:customStyle="1" w:styleId="VoetnoottekstChar">
    <w:name w:val="Voetnoottekst Char"/>
    <w:basedOn w:val="Standaardalinea-lettertype"/>
    <w:link w:val="Voetnoottekst"/>
    <w:semiHidden/>
    <w:rsid w:val="00373FC9"/>
    <w:rPr>
      <w:sz w:val="20"/>
      <w:szCs w:val="20"/>
      <w:lang w:val="de-DE"/>
    </w:rPr>
  </w:style>
  <w:style w:type="paragraph" w:styleId="Plattetekst">
    <w:name w:val="Body Text"/>
    <w:basedOn w:val="Standaard"/>
    <w:link w:val="PlattetekstChar"/>
    <w:semiHidden/>
    <w:unhideWhenUsed/>
    <w:rsid w:val="00373FC9"/>
    <w:pPr>
      <w:spacing w:after="0" w:line="240" w:lineRule="auto"/>
      <w:jc w:val="both"/>
    </w:pPr>
    <w:rPr>
      <w:rFonts w:ascii="Times New Roman" w:eastAsia="Times New Roman" w:hAnsi="Times New Roman" w:cs="Times New Roman"/>
      <w:sz w:val="24"/>
      <w:szCs w:val="24"/>
      <w:lang w:eastAsia="de-DE"/>
    </w:rPr>
  </w:style>
  <w:style w:type="character" w:customStyle="1" w:styleId="PlattetekstChar">
    <w:name w:val="Platte tekst Char"/>
    <w:basedOn w:val="Standaardalinea-lettertype"/>
    <w:link w:val="Plattetekst"/>
    <w:semiHidden/>
    <w:rsid w:val="00373FC9"/>
    <w:rPr>
      <w:rFonts w:ascii="Times New Roman" w:eastAsia="Times New Roman" w:hAnsi="Times New Roman" w:cs="Times New Roman"/>
      <w:sz w:val="24"/>
      <w:szCs w:val="24"/>
      <w:lang w:val="de-DE" w:eastAsia="de-DE"/>
    </w:rPr>
  </w:style>
  <w:style w:type="character" w:styleId="Voetnootmarkering">
    <w:name w:val="footnote reference"/>
    <w:basedOn w:val="Standaardalinea-lettertype"/>
    <w:semiHidden/>
    <w:unhideWhenUsed/>
    <w:rsid w:val="00373F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7114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1112</Words>
  <Characters>6117</Characters>
  <Application>Microsoft Office Word</Application>
  <DocSecurity>0</DocSecurity>
  <Lines>50</Lines>
  <Paragraphs>14</Paragraphs>
  <ScaleCrop>false</ScaleCrop>
  <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 Mulder</dc:creator>
  <cp:keywords/>
  <dc:description/>
  <cp:lastModifiedBy>Ger Mulder</cp:lastModifiedBy>
  <cp:revision>2</cp:revision>
  <dcterms:created xsi:type="dcterms:W3CDTF">2020-12-09T20:50:00Z</dcterms:created>
  <dcterms:modified xsi:type="dcterms:W3CDTF">2020-12-09T20:58:00Z</dcterms:modified>
</cp:coreProperties>
</file>